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1"/>
        <w:numPr>
          <w:ilvl w:val="0"/>
          <w:numId w:val="0"/>
        </w:numPr>
      </w:pPr>
      <w:bookmarkStart w:name="_Toc147905052_1" w:id="100001"/>
      <w:r>
        <w:t>DrawingML Reference Material</w:t>
      </w:r>
      <w:bookmarkEnd w:id="100001"/>
    </w:p>
    <w:p w:rsidRDefault="00B82E19" w:rsidP="00B82E19" w:rsidR="00B82E19">
      <w:r>
        <w:t>The subordinate subclauses specify the semantics for the XML markup comprising DrawingML content, which may be used within the contents of WordprocessingML, SpreadsheetML, or PresentationML documents.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